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A20C71" w14:textId="77777777" w:rsidR="00383A5F" w:rsidRDefault="000425B0" w:rsidP="008052D7">
      <w:pPr>
        <w:adjustRightInd w:val="0"/>
        <w:snapToGrid w:val="0"/>
        <w:spacing w:line="480" w:lineRule="auto"/>
        <w:jc w:val="left"/>
        <w:rPr>
          <w:b/>
          <w:sz w:val="28"/>
          <w:szCs w:val="28"/>
          <w:lang w:val="en-GB"/>
        </w:rPr>
      </w:pPr>
      <w:bookmarkStart w:id="0" w:name="OLE_LINK7"/>
      <w:r w:rsidRPr="00CB7A29">
        <w:rPr>
          <w:b/>
          <w:sz w:val="28"/>
          <w:szCs w:val="28"/>
          <w:lang w:val="en-GB"/>
        </w:rPr>
        <w:t>Additional file 1</w:t>
      </w:r>
      <w:r w:rsidR="00CB7A29" w:rsidRPr="00CB7A29">
        <w:rPr>
          <w:b/>
          <w:sz w:val="28"/>
          <w:szCs w:val="28"/>
          <w:lang w:val="en-GB"/>
        </w:rPr>
        <w:t xml:space="preserve">: </w:t>
      </w:r>
      <w:bookmarkStart w:id="1" w:name="_Hlk26526213"/>
      <w:bookmarkEnd w:id="0"/>
    </w:p>
    <w:p w14:paraId="7B626DED" w14:textId="0ECD2F73" w:rsidR="00F100F6" w:rsidRPr="00CB7A29" w:rsidRDefault="00F100F6" w:rsidP="008052D7">
      <w:pPr>
        <w:adjustRightInd w:val="0"/>
        <w:snapToGrid w:val="0"/>
        <w:spacing w:line="480" w:lineRule="auto"/>
        <w:jc w:val="left"/>
        <w:rPr>
          <w:rFonts w:cs="Times New Roman"/>
          <w:b/>
          <w:sz w:val="28"/>
          <w:szCs w:val="28"/>
        </w:rPr>
      </w:pPr>
      <w:r w:rsidRPr="00CB7A29">
        <w:rPr>
          <w:rFonts w:cs="Times New Roman"/>
          <w:b/>
          <w:sz w:val="28"/>
          <w:szCs w:val="28"/>
        </w:rPr>
        <w:t>Supplementary</w:t>
      </w:r>
      <w:bookmarkEnd w:id="1"/>
      <w:r w:rsidRPr="00CB7A29">
        <w:rPr>
          <w:rFonts w:cs="Times New Roman"/>
          <w:b/>
          <w:sz w:val="28"/>
          <w:szCs w:val="28"/>
        </w:rPr>
        <w:t xml:space="preserve"> Materials and methods</w:t>
      </w:r>
    </w:p>
    <w:p w14:paraId="66485F3C" w14:textId="77777777" w:rsidR="00F100F6" w:rsidRPr="00F100F6" w:rsidRDefault="00F100F6" w:rsidP="008052D7">
      <w:pPr>
        <w:adjustRightInd w:val="0"/>
        <w:snapToGrid w:val="0"/>
        <w:spacing w:line="480" w:lineRule="auto"/>
        <w:jc w:val="left"/>
        <w:rPr>
          <w:rFonts w:cs="Times New Roman"/>
          <w:b/>
          <w:szCs w:val="24"/>
        </w:rPr>
      </w:pPr>
      <w:r w:rsidRPr="00F100F6">
        <w:rPr>
          <w:rFonts w:cs="Times New Roman"/>
          <w:b/>
          <w:szCs w:val="24"/>
        </w:rPr>
        <w:t>Sample collection</w:t>
      </w:r>
    </w:p>
    <w:p w14:paraId="2AAD66E3" w14:textId="42D1E93C" w:rsidR="00F100F6" w:rsidRDefault="00F100F6" w:rsidP="008052D7">
      <w:pPr>
        <w:adjustRightInd w:val="0"/>
        <w:snapToGrid w:val="0"/>
        <w:spacing w:line="480" w:lineRule="auto"/>
        <w:jc w:val="left"/>
        <w:rPr>
          <w:rFonts w:cs="Times New Roman"/>
          <w:bCs/>
          <w:szCs w:val="24"/>
        </w:rPr>
      </w:pPr>
      <w:r w:rsidRPr="00F100F6">
        <w:rPr>
          <w:rFonts w:cs="Times New Roman"/>
          <w:bCs/>
          <w:szCs w:val="24"/>
        </w:rPr>
        <w:t>Bronchoalveolar lavage was performed during bronchoscopy in a damaged lung lobe in patients or a healthy lung lobe in healthy donors under topical lidocaine anesthesia. We passed a sterile suction catheter through the incision tube and pushed the catheter into the bronchial tube with gentle pressure. Bronchoalveolar lavage was performed by instilling 50-ml sterile saline solutions four times and aspirating approximately 120 ml fluids. The obtained lavage fluid was centrifuged to remove debris and cells, and then the supernatant was collected for subsequent assays.</w:t>
      </w:r>
    </w:p>
    <w:p w14:paraId="09ED7FA3" w14:textId="774645B6" w:rsidR="00F100F6" w:rsidRDefault="00F100F6" w:rsidP="008052D7">
      <w:pPr>
        <w:adjustRightInd w:val="0"/>
        <w:snapToGrid w:val="0"/>
        <w:spacing w:line="480" w:lineRule="auto"/>
        <w:jc w:val="left"/>
        <w:rPr>
          <w:rFonts w:cs="Times New Roman"/>
          <w:bCs/>
          <w:szCs w:val="24"/>
        </w:rPr>
      </w:pPr>
    </w:p>
    <w:p w14:paraId="48365041" w14:textId="77777777" w:rsidR="00F100F6" w:rsidRPr="00F100F6" w:rsidRDefault="00F100F6" w:rsidP="008052D7">
      <w:pPr>
        <w:adjustRightInd w:val="0"/>
        <w:snapToGrid w:val="0"/>
        <w:spacing w:line="480" w:lineRule="auto"/>
        <w:jc w:val="left"/>
        <w:rPr>
          <w:rFonts w:cs="Times New Roman"/>
          <w:b/>
          <w:szCs w:val="24"/>
        </w:rPr>
      </w:pPr>
      <w:r w:rsidRPr="00F100F6">
        <w:rPr>
          <w:rFonts w:cs="Times New Roman"/>
          <w:b/>
          <w:szCs w:val="24"/>
        </w:rPr>
        <w:t>Detection of cytokines, chemokines and growth factors</w:t>
      </w:r>
    </w:p>
    <w:p w14:paraId="5DED4B7B" w14:textId="66B1A92C" w:rsidR="00F100F6" w:rsidRPr="00F100F6" w:rsidRDefault="00F100F6" w:rsidP="008052D7">
      <w:pPr>
        <w:adjustRightInd w:val="0"/>
        <w:snapToGrid w:val="0"/>
        <w:spacing w:line="480" w:lineRule="auto"/>
        <w:jc w:val="left"/>
        <w:rPr>
          <w:rFonts w:cs="Times New Roman"/>
          <w:bCs/>
          <w:szCs w:val="24"/>
        </w:rPr>
      </w:pPr>
      <w:r w:rsidRPr="00F100F6">
        <w:rPr>
          <w:rFonts w:cs="Times New Roman"/>
          <w:bCs/>
          <w:szCs w:val="24"/>
        </w:rPr>
        <w:t>Cytokine, chemokine and growth factor levels in the plasma and BALF were detected with a Cytokine/Chemokine/Growth Factor 45-Plex Human ProcartaPlex™ Panel 1 kit (Thermo Scientific, Waltham, USA) according to the manufacturer’s instructions.</w:t>
      </w:r>
    </w:p>
    <w:p w14:paraId="191D0571" w14:textId="336BD937" w:rsidR="00F100F6" w:rsidRDefault="00F100F6" w:rsidP="008052D7">
      <w:pPr>
        <w:widowControl/>
        <w:adjustRightInd w:val="0"/>
        <w:snapToGrid w:val="0"/>
        <w:spacing w:line="480" w:lineRule="auto"/>
        <w:jc w:val="left"/>
        <w:rPr>
          <w:rFonts w:cs="Times New Roman"/>
          <w:b/>
          <w:bCs/>
          <w:szCs w:val="21"/>
        </w:rPr>
      </w:pPr>
    </w:p>
    <w:p w14:paraId="5B36B3C4" w14:textId="77777777" w:rsidR="00032B07" w:rsidRPr="00032B07" w:rsidRDefault="00032B07" w:rsidP="008052D7">
      <w:pPr>
        <w:widowControl/>
        <w:adjustRightInd w:val="0"/>
        <w:snapToGrid w:val="0"/>
        <w:spacing w:line="480" w:lineRule="auto"/>
        <w:jc w:val="left"/>
        <w:rPr>
          <w:rFonts w:cs="Times New Roman"/>
          <w:b/>
          <w:bCs/>
          <w:szCs w:val="21"/>
        </w:rPr>
      </w:pPr>
      <w:bookmarkStart w:id="2" w:name="_Hlk26952409"/>
      <w:r w:rsidRPr="00602C13">
        <w:rPr>
          <w:rFonts w:cs="Times New Roman"/>
          <w:b/>
          <w:bCs/>
          <w:szCs w:val="21"/>
        </w:rPr>
        <w:t>Alveolar Epithelial Permeability Assay</w:t>
      </w:r>
    </w:p>
    <w:bookmarkEnd w:id="2"/>
    <w:p w14:paraId="4F7B8A8F" w14:textId="786C8DB2" w:rsidR="00FD18EF" w:rsidRPr="00E83700" w:rsidRDefault="00FD18EF" w:rsidP="008052D7">
      <w:pPr>
        <w:adjustRightInd w:val="0"/>
        <w:snapToGrid w:val="0"/>
        <w:spacing w:line="480" w:lineRule="auto"/>
        <w:jc w:val="left"/>
        <w:rPr>
          <w:rFonts w:eastAsia="宋体"/>
          <w:szCs w:val="21"/>
          <w:lang w:val="en-GB"/>
        </w:rPr>
      </w:pPr>
      <w:r w:rsidRPr="00C52390">
        <w:rPr>
          <w:rFonts w:eastAsia="宋体"/>
          <w:szCs w:val="21"/>
          <w:lang w:val="en-GB"/>
        </w:rPr>
        <w:t xml:space="preserve">A549 human alveolar epithelial cells were </w:t>
      </w:r>
      <w:r w:rsidR="00962E3E">
        <w:rPr>
          <w:rFonts w:eastAsia="宋体" w:hint="eastAsia"/>
          <w:szCs w:val="21"/>
          <w:lang w:val="en-GB"/>
        </w:rPr>
        <w:t>seeded</w:t>
      </w:r>
      <w:r w:rsidRPr="00C52390">
        <w:rPr>
          <w:rFonts w:eastAsia="宋体"/>
          <w:szCs w:val="21"/>
          <w:lang w:val="en-GB"/>
        </w:rPr>
        <w:t xml:space="preserve"> onto </w:t>
      </w:r>
      <w:r>
        <w:rPr>
          <w:rFonts w:eastAsia="宋体"/>
          <w:szCs w:val="21"/>
          <w:lang w:val="en-GB"/>
        </w:rPr>
        <w:t xml:space="preserve">the </w:t>
      </w:r>
      <w:r w:rsidRPr="00C52390">
        <w:rPr>
          <w:rFonts w:eastAsia="宋体"/>
          <w:szCs w:val="21"/>
          <w:lang w:val="en-GB"/>
        </w:rPr>
        <w:t xml:space="preserve">24-well </w:t>
      </w:r>
      <w:r>
        <w:rPr>
          <w:rFonts w:eastAsia="宋体"/>
          <w:szCs w:val="21"/>
          <w:lang w:val="en-GB"/>
        </w:rPr>
        <w:t>transwell inserts and</w:t>
      </w:r>
      <w:r w:rsidRPr="00C52390">
        <w:rPr>
          <w:rFonts w:eastAsia="宋体"/>
          <w:szCs w:val="21"/>
          <w:lang w:val="en-GB"/>
        </w:rPr>
        <w:t xml:space="preserve"> prime</w:t>
      </w:r>
      <w:r>
        <w:rPr>
          <w:rFonts w:eastAsia="宋体"/>
          <w:szCs w:val="21"/>
          <w:lang w:val="en-GB"/>
        </w:rPr>
        <w:t>d with</w:t>
      </w:r>
      <w:r w:rsidRPr="00C52390">
        <w:rPr>
          <w:rFonts w:eastAsia="宋体"/>
          <w:szCs w:val="21"/>
          <w:lang w:val="en-GB"/>
        </w:rPr>
        <w:t xml:space="preserve"> LPS (2 </w:t>
      </w:r>
      <w:r w:rsidR="00A345EE">
        <w:rPr>
          <w:rFonts w:eastAsia="宋体" w:hint="eastAsia"/>
          <w:szCs w:val="21"/>
          <w:lang w:val="en-GB"/>
        </w:rPr>
        <w:t>n</w:t>
      </w:r>
      <w:r w:rsidRPr="00C52390">
        <w:rPr>
          <w:rFonts w:eastAsia="宋体"/>
          <w:szCs w:val="21"/>
          <w:lang w:val="en-GB"/>
        </w:rPr>
        <w:t xml:space="preserve">g/ml) for 24 h prior to the permeability assay. For </w:t>
      </w:r>
      <w:r w:rsidR="00962E3E">
        <w:rPr>
          <w:rFonts w:eastAsia="宋体" w:hint="eastAsia"/>
          <w:szCs w:val="21"/>
          <w:lang w:val="en-GB"/>
        </w:rPr>
        <w:t>BALF</w:t>
      </w:r>
      <w:r w:rsidRPr="00C52390">
        <w:rPr>
          <w:rFonts w:eastAsia="宋体"/>
          <w:szCs w:val="21"/>
          <w:lang w:val="en-GB"/>
        </w:rPr>
        <w:t xml:space="preserve"> co-culture, 10 μL </w:t>
      </w:r>
      <w:r w:rsidR="00962E3E">
        <w:rPr>
          <w:rFonts w:eastAsia="宋体" w:hint="eastAsia"/>
          <w:szCs w:val="21"/>
          <w:lang w:val="en-GB"/>
        </w:rPr>
        <w:t>BALF</w:t>
      </w:r>
      <w:r w:rsidRPr="00C52390">
        <w:rPr>
          <w:rFonts w:eastAsia="宋体"/>
          <w:szCs w:val="21"/>
          <w:lang w:val="en-GB"/>
        </w:rPr>
        <w:t xml:space="preserve"> from</w:t>
      </w:r>
      <w:r w:rsidR="00962E3E">
        <w:rPr>
          <w:rFonts w:eastAsia="宋体"/>
          <w:szCs w:val="21"/>
          <w:lang w:val="en-GB"/>
        </w:rPr>
        <w:t xml:space="preserve"> </w:t>
      </w:r>
      <w:r w:rsidR="00962E3E">
        <w:rPr>
          <w:rFonts w:eastAsia="宋体" w:hint="eastAsia"/>
          <w:szCs w:val="21"/>
          <w:lang w:val="en-GB"/>
        </w:rPr>
        <w:t>severe</w:t>
      </w:r>
      <w:r w:rsidR="00962E3E">
        <w:rPr>
          <w:rFonts w:eastAsia="宋体"/>
          <w:szCs w:val="21"/>
          <w:lang w:val="en-GB"/>
        </w:rPr>
        <w:t xml:space="preserve"> H1N1</w:t>
      </w:r>
      <w:r w:rsidRPr="00C52390">
        <w:rPr>
          <w:rFonts w:eastAsia="宋体"/>
          <w:szCs w:val="21"/>
          <w:lang w:val="en-GB"/>
        </w:rPr>
        <w:t xml:space="preserve"> patients and healthy controls was added to the </w:t>
      </w:r>
      <w:r>
        <w:rPr>
          <w:rFonts w:eastAsia="宋体"/>
          <w:szCs w:val="21"/>
          <w:lang w:val="en-GB"/>
        </w:rPr>
        <w:t>t</w:t>
      </w:r>
      <w:r w:rsidRPr="00C52390">
        <w:rPr>
          <w:rFonts w:eastAsia="宋体"/>
          <w:szCs w:val="21"/>
          <w:lang w:val="en-GB"/>
        </w:rPr>
        <w:t xml:space="preserve">ranswell and incubated at 37°C for 3 h. We measured permeability across alveolar epithelial monolayers by adding FITC-labelled BSA (JK Chem, Shanghai, China) to the </w:t>
      </w:r>
      <w:r>
        <w:rPr>
          <w:rFonts w:eastAsia="宋体"/>
          <w:szCs w:val="21"/>
          <w:lang w:val="en-GB"/>
        </w:rPr>
        <w:t>t</w:t>
      </w:r>
      <w:r w:rsidRPr="00C52390">
        <w:rPr>
          <w:rFonts w:eastAsia="宋体"/>
          <w:szCs w:val="21"/>
          <w:lang w:val="en-GB"/>
        </w:rPr>
        <w:t xml:space="preserve">ranswell and measured accumulation in the lower compartment after 1 h. The fluorescence was measured with a fluorescence microplate reader (Thermo Scientific, Waltham, MA, USA). </w:t>
      </w:r>
    </w:p>
    <w:p w14:paraId="40CD7921" w14:textId="1BC563DA" w:rsidR="000425B0" w:rsidRDefault="000425B0" w:rsidP="008052D7">
      <w:pPr>
        <w:snapToGrid w:val="0"/>
        <w:spacing w:line="480" w:lineRule="auto"/>
        <w:jc w:val="left"/>
        <w:rPr>
          <w:rFonts w:cs="Times New Roman"/>
          <w:b/>
          <w:bCs/>
          <w:szCs w:val="21"/>
        </w:rPr>
      </w:pPr>
    </w:p>
    <w:p w14:paraId="7E946AF2" w14:textId="77777777" w:rsidR="002B7C06" w:rsidRDefault="002B7C06" w:rsidP="008052D7">
      <w:pPr>
        <w:snapToGrid w:val="0"/>
        <w:spacing w:line="480" w:lineRule="auto"/>
        <w:jc w:val="left"/>
        <w:rPr>
          <w:rFonts w:cs="Times New Roman"/>
          <w:b/>
          <w:bCs/>
          <w:szCs w:val="21"/>
        </w:rPr>
      </w:pPr>
    </w:p>
    <w:p w14:paraId="7C73AB36" w14:textId="77777777" w:rsidR="002B7C06" w:rsidRPr="002B7C06" w:rsidRDefault="002B7C06" w:rsidP="002B7C06">
      <w:pPr>
        <w:snapToGrid w:val="0"/>
        <w:spacing w:line="480" w:lineRule="auto"/>
        <w:jc w:val="left"/>
        <w:rPr>
          <w:rFonts w:cs="Times New Roman"/>
          <w:b/>
          <w:sz w:val="28"/>
          <w:szCs w:val="28"/>
        </w:rPr>
      </w:pPr>
      <w:r w:rsidRPr="002B7C06">
        <w:rPr>
          <w:rFonts w:cs="Times New Roman"/>
          <w:b/>
          <w:sz w:val="28"/>
          <w:szCs w:val="28"/>
        </w:rPr>
        <w:t>Supplementary Figure Legends</w:t>
      </w:r>
    </w:p>
    <w:p w14:paraId="3893B28D" w14:textId="0AA10438" w:rsidR="002B7C06" w:rsidRPr="00480CA7" w:rsidRDefault="002B7C06" w:rsidP="002B7C06">
      <w:pPr>
        <w:autoSpaceDE w:val="0"/>
        <w:autoSpaceDN w:val="0"/>
        <w:adjustRightInd w:val="0"/>
        <w:snapToGrid w:val="0"/>
        <w:spacing w:line="480" w:lineRule="auto"/>
        <w:jc w:val="left"/>
        <w:rPr>
          <w:rFonts w:cs="Times New Roman"/>
          <w:bCs/>
          <w:szCs w:val="21"/>
        </w:rPr>
      </w:pPr>
      <w:r w:rsidRPr="00FF2820">
        <w:rPr>
          <w:rFonts w:cs="Times New Roman"/>
          <w:b/>
          <w:szCs w:val="24"/>
        </w:rPr>
        <w:t xml:space="preserve">Figure </w:t>
      </w:r>
      <w:r>
        <w:rPr>
          <w:rFonts w:cs="Times New Roman"/>
          <w:b/>
          <w:szCs w:val="24"/>
        </w:rPr>
        <w:t>S</w:t>
      </w:r>
      <w:r w:rsidRPr="00FF2820">
        <w:rPr>
          <w:rFonts w:cs="Times New Roman"/>
          <w:b/>
          <w:szCs w:val="24"/>
        </w:rPr>
        <w:t>1</w:t>
      </w:r>
      <w:r w:rsidRPr="00FF2820">
        <w:rPr>
          <w:rFonts w:cs="Times New Roman"/>
          <w:szCs w:val="24"/>
        </w:rPr>
        <w:t xml:space="preserve"> </w:t>
      </w:r>
      <w:r w:rsidRPr="00480CA7">
        <w:rPr>
          <w:rFonts w:cs="Times New Roman"/>
          <w:bCs/>
          <w:szCs w:val="21"/>
        </w:rPr>
        <w:t xml:space="preserve">ROC curves and AUCs in prediction of mortality. </w:t>
      </w:r>
      <w:r w:rsidRPr="00480CA7">
        <w:rPr>
          <w:rFonts w:cs="Times New Roman"/>
          <w:b/>
          <w:bCs/>
          <w:szCs w:val="21"/>
        </w:rPr>
        <w:t>(</w:t>
      </w:r>
      <w:r>
        <w:rPr>
          <w:rFonts w:cs="Times New Roman"/>
          <w:b/>
          <w:bCs/>
          <w:szCs w:val="21"/>
        </w:rPr>
        <w:t>a</w:t>
      </w:r>
      <w:r w:rsidRPr="00480CA7">
        <w:rPr>
          <w:rFonts w:cs="Times New Roman"/>
          <w:b/>
          <w:bCs/>
          <w:szCs w:val="21"/>
        </w:rPr>
        <w:t>-</w:t>
      </w:r>
      <w:r>
        <w:rPr>
          <w:rFonts w:cs="Times New Roman"/>
          <w:b/>
          <w:bCs/>
          <w:szCs w:val="21"/>
        </w:rPr>
        <w:t>e</w:t>
      </w:r>
      <w:r w:rsidRPr="00480CA7">
        <w:rPr>
          <w:rFonts w:cs="Times New Roman"/>
          <w:b/>
          <w:bCs/>
          <w:szCs w:val="21"/>
        </w:rPr>
        <w:t xml:space="preserve">) </w:t>
      </w:r>
      <w:r w:rsidRPr="00480CA7">
        <w:rPr>
          <w:rFonts w:cs="Times New Roman"/>
          <w:bCs/>
          <w:szCs w:val="21"/>
        </w:rPr>
        <w:t xml:space="preserve">ROC curves and AUCs of plasma cfDNA, plasma histone-DNA, plasma IL-8, oxygen index </w:t>
      </w:r>
      <w:r w:rsidRPr="00480CA7">
        <w:rPr>
          <w:rFonts w:cs="Times New Roman" w:hint="eastAsia"/>
          <w:bCs/>
          <w:szCs w:val="21"/>
        </w:rPr>
        <w:t>and</w:t>
      </w:r>
      <w:r w:rsidRPr="00480CA7">
        <w:rPr>
          <w:rFonts w:cs="Times New Roman"/>
          <w:bCs/>
          <w:szCs w:val="21"/>
        </w:rPr>
        <w:t xml:space="preserve"> neutrophil proportion in the </w:t>
      </w:r>
      <w:r w:rsidRPr="00480CA7">
        <w:rPr>
          <w:rFonts w:cs="Times New Roman"/>
          <w:bCs/>
          <w:szCs w:val="21"/>
        </w:rPr>
        <w:lastRenderedPageBreak/>
        <w:t xml:space="preserve">peripheral blood in predicting fatal outcomes of the severe patients with H1N1 infection in cohort 2017 (survivor, n = 13; death, n = 17). </w:t>
      </w:r>
      <w:r w:rsidRPr="00480CA7">
        <w:rPr>
          <w:rFonts w:cs="Times New Roman"/>
          <w:b/>
          <w:bCs/>
          <w:szCs w:val="21"/>
        </w:rPr>
        <w:t>(</w:t>
      </w:r>
      <w:r>
        <w:rPr>
          <w:rFonts w:cs="Times New Roman"/>
          <w:b/>
          <w:bCs/>
          <w:szCs w:val="21"/>
        </w:rPr>
        <w:t>f</w:t>
      </w:r>
      <w:r w:rsidRPr="00480CA7">
        <w:rPr>
          <w:rFonts w:cs="Times New Roman"/>
          <w:b/>
          <w:bCs/>
          <w:szCs w:val="21"/>
        </w:rPr>
        <w:t xml:space="preserve">) </w:t>
      </w:r>
      <w:r w:rsidRPr="00480CA7">
        <w:rPr>
          <w:rFonts w:cs="Times New Roman"/>
          <w:bCs/>
          <w:szCs w:val="21"/>
        </w:rPr>
        <w:t>ROC curve and AUC of plasma cfDNA in in predicting fatal outcomes of the severe patients with H1N1 infection in cohort 2009 (survivor, n = 22; death, n = 10).</w:t>
      </w:r>
    </w:p>
    <w:p w14:paraId="15359C26" w14:textId="77777777" w:rsidR="002B7C06" w:rsidRPr="00480CA7" w:rsidRDefault="002B7C06" w:rsidP="002B7C06">
      <w:pPr>
        <w:widowControl/>
        <w:snapToGrid w:val="0"/>
        <w:spacing w:line="480" w:lineRule="auto"/>
        <w:jc w:val="left"/>
        <w:rPr>
          <w:rFonts w:cs="Times New Roman"/>
          <w:b/>
          <w:color w:val="000000"/>
          <w:szCs w:val="21"/>
          <w:shd w:val="clear" w:color="auto" w:fill="FFFFFF"/>
        </w:rPr>
      </w:pPr>
    </w:p>
    <w:p w14:paraId="44B417E0" w14:textId="494C2359" w:rsidR="002B7C06" w:rsidRPr="00480CA7" w:rsidRDefault="002B7C06" w:rsidP="002B7C06">
      <w:pPr>
        <w:widowControl/>
        <w:snapToGrid w:val="0"/>
        <w:spacing w:line="480" w:lineRule="auto"/>
        <w:jc w:val="left"/>
        <w:rPr>
          <w:rFonts w:cs="Times New Roman"/>
          <w:bCs/>
          <w:szCs w:val="21"/>
        </w:rPr>
      </w:pPr>
      <w:r w:rsidRPr="00FF2820">
        <w:rPr>
          <w:rFonts w:cs="Times New Roman"/>
          <w:b/>
          <w:szCs w:val="24"/>
        </w:rPr>
        <w:t xml:space="preserve">Figure </w:t>
      </w:r>
      <w:r>
        <w:rPr>
          <w:rFonts w:cs="Times New Roman"/>
          <w:b/>
          <w:szCs w:val="24"/>
        </w:rPr>
        <w:t>S</w:t>
      </w:r>
      <w:r w:rsidR="00494275">
        <w:rPr>
          <w:rFonts w:cs="Times New Roman"/>
          <w:b/>
          <w:szCs w:val="24"/>
        </w:rPr>
        <w:t>2</w:t>
      </w:r>
      <w:bookmarkStart w:id="3" w:name="_GoBack"/>
      <w:bookmarkEnd w:id="3"/>
      <w:r w:rsidRPr="00480CA7">
        <w:rPr>
          <w:rFonts w:cs="Times New Roman"/>
          <w:b/>
          <w:szCs w:val="21"/>
        </w:rPr>
        <w:t xml:space="preserve"> </w:t>
      </w:r>
      <w:r w:rsidRPr="00480CA7">
        <w:rPr>
          <w:rFonts w:cs="Times New Roman"/>
          <w:bCs/>
          <w:szCs w:val="21"/>
        </w:rPr>
        <w:t xml:space="preserve">The levels of cfDNA and histone-DNA in the plasma </w:t>
      </w:r>
      <w:r w:rsidRPr="00480CA7">
        <w:rPr>
          <w:rFonts w:cs="Times New Roman"/>
          <w:b/>
          <w:szCs w:val="21"/>
        </w:rPr>
        <w:t>(</w:t>
      </w:r>
      <w:r>
        <w:rPr>
          <w:rFonts w:cs="Times New Roman"/>
          <w:b/>
          <w:szCs w:val="21"/>
        </w:rPr>
        <w:t>a</w:t>
      </w:r>
      <w:r w:rsidRPr="00480CA7">
        <w:rPr>
          <w:rFonts w:cs="Times New Roman"/>
          <w:b/>
          <w:szCs w:val="21"/>
        </w:rPr>
        <w:t>)</w:t>
      </w:r>
      <w:r w:rsidRPr="00480CA7">
        <w:rPr>
          <w:rFonts w:cs="Times New Roman"/>
          <w:bCs/>
          <w:szCs w:val="21"/>
        </w:rPr>
        <w:t xml:space="preserve"> and BALF </w:t>
      </w:r>
      <w:r w:rsidRPr="00480CA7">
        <w:rPr>
          <w:rFonts w:cs="Times New Roman"/>
          <w:b/>
          <w:szCs w:val="21"/>
        </w:rPr>
        <w:t>(</w:t>
      </w:r>
      <w:r>
        <w:rPr>
          <w:rFonts w:cs="Times New Roman"/>
          <w:b/>
          <w:szCs w:val="21"/>
        </w:rPr>
        <w:t>b</w:t>
      </w:r>
      <w:r w:rsidRPr="00480CA7">
        <w:rPr>
          <w:rFonts w:cs="Times New Roman"/>
          <w:b/>
          <w:szCs w:val="21"/>
        </w:rPr>
        <w:t xml:space="preserve">) </w:t>
      </w:r>
      <w:r w:rsidRPr="00480CA7">
        <w:rPr>
          <w:rFonts w:cs="Times New Roman"/>
          <w:bCs/>
          <w:szCs w:val="21"/>
        </w:rPr>
        <w:t>from severe patients with acute respiratory distress syndrome (ARDS) category. Mild ARDS, n =7; moderate ARDS; n = 12, severe ARDS, n = 11.</w:t>
      </w:r>
      <w:r w:rsidRPr="00480CA7">
        <w:rPr>
          <w:rFonts w:cs="Times New Roman"/>
          <w:szCs w:val="21"/>
        </w:rPr>
        <w:t xml:space="preserve"> Kruskal-Wallis ANOVA on ranks or one-way ANOVA analysis was used for comparison among three groups. </w:t>
      </w:r>
      <w:r w:rsidRPr="00480CA7">
        <w:rPr>
          <w:rFonts w:cs="Times New Roman"/>
          <w:i/>
          <w:szCs w:val="21"/>
        </w:rPr>
        <w:t xml:space="preserve">P </w:t>
      </w:r>
      <w:r w:rsidRPr="00480CA7">
        <w:rPr>
          <w:rFonts w:cs="Times New Roman"/>
          <w:szCs w:val="21"/>
        </w:rPr>
        <w:t xml:space="preserve">values were obtained by Mann-Whitney U test or </w:t>
      </w:r>
      <w:r w:rsidRPr="00480CA7">
        <w:rPr>
          <w:rFonts w:cs="Times New Roman" w:hint="eastAsia"/>
          <w:szCs w:val="21"/>
        </w:rPr>
        <w:t>stu</w:t>
      </w:r>
      <w:r w:rsidRPr="00480CA7">
        <w:rPr>
          <w:rFonts w:cs="Times New Roman"/>
          <w:szCs w:val="21"/>
        </w:rPr>
        <w:t xml:space="preserve">dent </w:t>
      </w:r>
      <w:r w:rsidRPr="00480CA7">
        <w:rPr>
          <w:rFonts w:cs="Times New Roman"/>
          <w:i/>
          <w:szCs w:val="21"/>
        </w:rPr>
        <w:t>t</w:t>
      </w:r>
      <w:r w:rsidRPr="00480CA7">
        <w:rPr>
          <w:rFonts w:cs="Times New Roman"/>
          <w:szCs w:val="21"/>
        </w:rPr>
        <w:t xml:space="preserve"> test between two groups.</w:t>
      </w:r>
    </w:p>
    <w:p w14:paraId="54E99B9D" w14:textId="77777777" w:rsidR="00CC26E8" w:rsidRPr="002B7C06" w:rsidRDefault="00CC26E8" w:rsidP="008052D7">
      <w:pPr>
        <w:snapToGrid w:val="0"/>
        <w:spacing w:line="480" w:lineRule="auto"/>
        <w:rPr>
          <w:sz w:val="18"/>
          <w:szCs w:val="20"/>
        </w:rPr>
      </w:pPr>
    </w:p>
    <w:sectPr w:rsidR="00CC26E8" w:rsidRPr="002B7C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CBAB5E" w14:textId="77777777" w:rsidR="00000C34" w:rsidRDefault="00000C34" w:rsidP="00207ED9">
      <w:r>
        <w:separator/>
      </w:r>
    </w:p>
  </w:endnote>
  <w:endnote w:type="continuationSeparator" w:id="0">
    <w:p w14:paraId="6713AC47" w14:textId="77777777" w:rsidR="00000C34" w:rsidRDefault="00000C34" w:rsidP="00207E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9E4E91" w14:textId="77777777" w:rsidR="00000C34" w:rsidRDefault="00000C34" w:rsidP="00207ED9">
      <w:r>
        <w:separator/>
      </w:r>
    </w:p>
  </w:footnote>
  <w:footnote w:type="continuationSeparator" w:id="0">
    <w:p w14:paraId="66EDE014" w14:textId="77777777" w:rsidR="00000C34" w:rsidRDefault="00000C34" w:rsidP="00207E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E1D"/>
    <w:rsid w:val="00000C34"/>
    <w:rsid w:val="00032B07"/>
    <w:rsid w:val="000425B0"/>
    <w:rsid w:val="00070745"/>
    <w:rsid w:val="00137E1D"/>
    <w:rsid w:val="00162F03"/>
    <w:rsid w:val="00195D02"/>
    <w:rsid w:val="001B50C8"/>
    <w:rsid w:val="00207ED9"/>
    <w:rsid w:val="002B7C06"/>
    <w:rsid w:val="002D74B0"/>
    <w:rsid w:val="00383A5F"/>
    <w:rsid w:val="003A151F"/>
    <w:rsid w:val="003F5BFE"/>
    <w:rsid w:val="00480CA7"/>
    <w:rsid w:val="00494275"/>
    <w:rsid w:val="00586D8F"/>
    <w:rsid w:val="00602C13"/>
    <w:rsid w:val="00614F53"/>
    <w:rsid w:val="00704C92"/>
    <w:rsid w:val="00776F77"/>
    <w:rsid w:val="008052D7"/>
    <w:rsid w:val="008676CF"/>
    <w:rsid w:val="008A6D27"/>
    <w:rsid w:val="008B388D"/>
    <w:rsid w:val="008C04F1"/>
    <w:rsid w:val="00962E3E"/>
    <w:rsid w:val="009D4D7C"/>
    <w:rsid w:val="00A345EE"/>
    <w:rsid w:val="00A47860"/>
    <w:rsid w:val="00AA479E"/>
    <w:rsid w:val="00B737E0"/>
    <w:rsid w:val="00B7626D"/>
    <w:rsid w:val="00BA5101"/>
    <w:rsid w:val="00BF240A"/>
    <w:rsid w:val="00CB7A29"/>
    <w:rsid w:val="00CC26E8"/>
    <w:rsid w:val="00CD0D98"/>
    <w:rsid w:val="00D92AC2"/>
    <w:rsid w:val="00E64B32"/>
    <w:rsid w:val="00EC4203"/>
    <w:rsid w:val="00ED1B5B"/>
    <w:rsid w:val="00F100F6"/>
    <w:rsid w:val="00F33869"/>
    <w:rsid w:val="00F648A0"/>
    <w:rsid w:val="00FD1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4F91CE"/>
  <w15:chartTrackingRefBased/>
  <w15:docId w15:val="{044BECE8-F064-4757-AA63-928F37D84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7ED9"/>
    <w:pPr>
      <w:widowControl w:val="0"/>
      <w:jc w:val="both"/>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7ED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07ED9"/>
    <w:rPr>
      <w:sz w:val="18"/>
      <w:szCs w:val="18"/>
    </w:rPr>
  </w:style>
  <w:style w:type="paragraph" w:styleId="a5">
    <w:name w:val="footer"/>
    <w:basedOn w:val="a"/>
    <w:link w:val="a6"/>
    <w:uiPriority w:val="99"/>
    <w:unhideWhenUsed/>
    <w:rsid w:val="00207ED9"/>
    <w:pPr>
      <w:tabs>
        <w:tab w:val="center" w:pos="4153"/>
        <w:tab w:val="right" w:pos="8306"/>
      </w:tabs>
      <w:snapToGrid w:val="0"/>
      <w:jc w:val="left"/>
    </w:pPr>
    <w:rPr>
      <w:sz w:val="18"/>
      <w:szCs w:val="18"/>
    </w:rPr>
  </w:style>
  <w:style w:type="character" w:customStyle="1" w:styleId="a6">
    <w:name w:val="页脚 字符"/>
    <w:basedOn w:val="a0"/>
    <w:link w:val="a5"/>
    <w:uiPriority w:val="99"/>
    <w:rsid w:val="00207ED9"/>
    <w:rPr>
      <w:sz w:val="18"/>
      <w:szCs w:val="18"/>
    </w:rPr>
  </w:style>
  <w:style w:type="paragraph" w:styleId="a7">
    <w:name w:val="footnote text"/>
    <w:basedOn w:val="a"/>
    <w:link w:val="a8"/>
    <w:uiPriority w:val="99"/>
    <w:semiHidden/>
    <w:unhideWhenUsed/>
    <w:rsid w:val="00D92AC2"/>
    <w:pPr>
      <w:snapToGrid w:val="0"/>
      <w:jc w:val="left"/>
    </w:pPr>
    <w:rPr>
      <w:sz w:val="18"/>
      <w:szCs w:val="18"/>
    </w:rPr>
  </w:style>
  <w:style w:type="character" w:customStyle="1" w:styleId="a8">
    <w:name w:val="脚注文本 字符"/>
    <w:basedOn w:val="a0"/>
    <w:link w:val="a7"/>
    <w:uiPriority w:val="99"/>
    <w:semiHidden/>
    <w:rsid w:val="00D92AC2"/>
    <w:rPr>
      <w:rFonts w:ascii="Times New Roman" w:hAnsi="Times New Roman"/>
      <w:sz w:val="18"/>
      <w:szCs w:val="18"/>
    </w:rPr>
  </w:style>
  <w:style w:type="character" w:styleId="a9">
    <w:name w:val="footnote reference"/>
    <w:basedOn w:val="a0"/>
    <w:uiPriority w:val="99"/>
    <w:semiHidden/>
    <w:unhideWhenUsed/>
    <w:rsid w:val="00D92AC2"/>
    <w:rPr>
      <w:vertAlign w:val="superscript"/>
    </w:rPr>
  </w:style>
  <w:style w:type="paragraph" w:styleId="aa">
    <w:name w:val="Normal (Web)"/>
    <w:basedOn w:val="a"/>
    <w:uiPriority w:val="99"/>
    <w:unhideWhenUsed/>
    <w:rsid w:val="00D92AC2"/>
    <w:pPr>
      <w:widowControl/>
      <w:spacing w:before="100" w:beforeAutospacing="1" w:after="100" w:afterAutospacing="1"/>
      <w:jc w:val="left"/>
    </w:pPr>
    <w:rPr>
      <w:rFonts w:ascii="宋体" w:eastAsia="宋体" w:hAnsi="宋体" w:cs="宋体"/>
      <w:kern w:val="0"/>
      <w:sz w:val="24"/>
      <w:szCs w:val="24"/>
    </w:rPr>
  </w:style>
  <w:style w:type="paragraph" w:styleId="ab">
    <w:name w:val="Balloon Text"/>
    <w:basedOn w:val="a"/>
    <w:link w:val="ac"/>
    <w:uiPriority w:val="99"/>
    <w:semiHidden/>
    <w:unhideWhenUsed/>
    <w:rsid w:val="00480CA7"/>
    <w:rPr>
      <w:sz w:val="18"/>
      <w:szCs w:val="18"/>
    </w:rPr>
  </w:style>
  <w:style w:type="character" w:customStyle="1" w:styleId="ac">
    <w:name w:val="批注框文本 字符"/>
    <w:basedOn w:val="a0"/>
    <w:link w:val="ab"/>
    <w:uiPriority w:val="99"/>
    <w:semiHidden/>
    <w:rsid w:val="00480CA7"/>
    <w:rPr>
      <w:rFonts w:ascii="Times New Roman" w:hAnsi="Times New Roman"/>
      <w:sz w:val="18"/>
      <w:szCs w:val="18"/>
    </w:rPr>
  </w:style>
  <w:style w:type="character" w:styleId="ad">
    <w:name w:val="annotation reference"/>
    <w:basedOn w:val="a0"/>
    <w:uiPriority w:val="99"/>
    <w:semiHidden/>
    <w:unhideWhenUsed/>
    <w:rsid w:val="00B737E0"/>
    <w:rPr>
      <w:sz w:val="21"/>
      <w:szCs w:val="21"/>
    </w:rPr>
  </w:style>
  <w:style w:type="paragraph" w:styleId="ae">
    <w:name w:val="annotation text"/>
    <w:basedOn w:val="a"/>
    <w:link w:val="af"/>
    <w:uiPriority w:val="99"/>
    <w:semiHidden/>
    <w:unhideWhenUsed/>
    <w:rsid w:val="00B737E0"/>
    <w:pPr>
      <w:jc w:val="left"/>
    </w:pPr>
  </w:style>
  <w:style w:type="character" w:customStyle="1" w:styleId="af">
    <w:name w:val="批注文字 字符"/>
    <w:basedOn w:val="a0"/>
    <w:link w:val="ae"/>
    <w:uiPriority w:val="99"/>
    <w:semiHidden/>
    <w:rsid w:val="00B737E0"/>
    <w:rPr>
      <w:rFonts w:ascii="Times New Roman" w:hAnsi="Times New Roman"/>
    </w:rPr>
  </w:style>
  <w:style w:type="paragraph" w:styleId="af0">
    <w:name w:val="annotation subject"/>
    <w:basedOn w:val="ae"/>
    <w:next w:val="ae"/>
    <w:link w:val="af1"/>
    <w:uiPriority w:val="99"/>
    <w:semiHidden/>
    <w:unhideWhenUsed/>
    <w:rsid w:val="00B737E0"/>
    <w:rPr>
      <w:b/>
      <w:bCs/>
    </w:rPr>
  </w:style>
  <w:style w:type="character" w:customStyle="1" w:styleId="af1">
    <w:name w:val="批注主题 字符"/>
    <w:basedOn w:val="af"/>
    <w:link w:val="af0"/>
    <w:uiPriority w:val="99"/>
    <w:semiHidden/>
    <w:rsid w:val="00B737E0"/>
    <w:rPr>
      <w:rFonts w:ascii="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976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CBF3A4-3AD0-4859-864B-7D794826B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372</Words>
  <Characters>2124</Characters>
  <Application>Microsoft Office Word</Application>
  <DocSecurity>0</DocSecurity>
  <Lines>17</Lines>
  <Paragraphs>4</Paragraphs>
  <ScaleCrop>false</ScaleCrop>
  <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玥 张</dc:creator>
  <cp:keywords/>
  <dc:description/>
  <cp:lastModifiedBy>Laura Zhu</cp:lastModifiedBy>
  <cp:revision>7</cp:revision>
  <dcterms:created xsi:type="dcterms:W3CDTF">2019-12-17T03:38:00Z</dcterms:created>
  <dcterms:modified xsi:type="dcterms:W3CDTF">2019-12-17T05:48:00Z</dcterms:modified>
</cp:coreProperties>
</file>